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C3" w:rsidRPr="008E57F6" w:rsidRDefault="00A001C3" w:rsidP="00A001C3">
      <w:pPr>
        <w:shd w:val="clear" w:color="auto" w:fill="FFFFFF"/>
        <w:spacing w:before="120" w:after="120" w:line="234" w:lineRule="atLeast"/>
        <w:jc w:val="center"/>
        <w:rPr>
          <w:rFonts w:ascii="Times New Roman" w:hAnsi="Times New Roman" w:cs="Times New Roman"/>
          <w:b/>
          <w:sz w:val="32"/>
          <w:szCs w:val="26"/>
          <w:shd w:val="clear" w:color="auto" w:fill="FFFFFF"/>
        </w:rPr>
      </w:pPr>
      <w:r w:rsidRPr="008E57F6">
        <w:rPr>
          <w:rFonts w:ascii="Times New Roman" w:hAnsi="Times New Roman" w:cs="Times New Roman"/>
          <w:b/>
          <w:sz w:val="32"/>
          <w:szCs w:val="26"/>
          <w:shd w:val="clear" w:color="auto" w:fill="FFFFFF"/>
        </w:rPr>
        <w:t>THÔNG TIN CÔNG BỐ DỰ ÁN</w:t>
      </w:r>
    </w:p>
    <w:p w:rsidR="00A001C3" w:rsidRPr="008E57F6" w:rsidRDefault="00A001C3" w:rsidP="00A001C3">
      <w:pPr>
        <w:shd w:val="clear" w:color="auto" w:fill="FFFFFF"/>
        <w:spacing w:before="120" w:after="120" w:line="234" w:lineRule="atLeast"/>
        <w:jc w:val="both"/>
        <w:rPr>
          <w:rFonts w:ascii="Times New Roman" w:eastAsia="Times New Roman" w:hAnsi="Times New Roman" w:cs="Times New Roman"/>
          <w:sz w:val="26"/>
          <w:szCs w:val="26"/>
        </w:rPr>
      </w:pP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b/>
          <w:sz w:val="26"/>
          <w:szCs w:val="26"/>
        </w:rPr>
      </w:pPr>
      <w:r w:rsidRPr="008E57F6">
        <w:rPr>
          <w:rFonts w:ascii="Times New Roman" w:eastAsia="Times New Roman" w:hAnsi="Times New Roman" w:cs="Times New Roman"/>
          <w:b/>
          <w:sz w:val="26"/>
          <w:szCs w:val="26"/>
          <w:lang w:val="vi-VN"/>
        </w:rPr>
        <w:t>1. Thông tin về chủ đầu tư:</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lang w:val="vi-VN"/>
        </w:rPr>
        <w:t>- Tên chủ đầu tư: </w:t>
      </w:r>
      <w:r w:rsidRPr="008E57F6">
        <w:rPr>
          <w:rFonts w:ascii="Times New Roman" w:hAnsi="Times New Roman"/>
          <w:sz w:val="26"/>
          <w:szCs w:val="26"/>
        </w:rPr>
        <w:t>Công ty Cổ phần NEW GOLDSUN</w:t>
      </w:r>
      <w:r w:rsidRPr="008E57F6" w:rsidDel="00D24F0D">
        <w:rPr>
          <w:rFonts w:ascii="Times New Roman" w:eastAsia="Times New Roman" w:hAnsi="Times New Roman" w:cs="Times New Roman"/>
          <w:sz w:val="26"/>
          <w:szCs w:val="26"/>
        </w:rPr>
        <w:t xml:space="preserve"> </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 xml:space="preserve">- </w:t>
      </w:r>
      <w:r w:rsidRPr="008E57F6">
        <w:rPr>
          <w:rFonts w:ascii="Times New Roman" w:eastAsia="Times New Roman" w:hAnsi="Times New Roman" w:cs="Times New Roman"/>
          <w:sz w:val="26"/>
          <w:szCs w:val="26"/>
          <w:lang w:val="vi-VN"/>
        </w:rPr>
        <w:t>Người đại diện:</w:t>
      </w:r>
      <w:r w:rsidRPr="008E57F6">
        <w:rPr>
          <w:rFonts w:ascii="Times New Roman" w:eastAsia="Times New Roman" w:hAnsi="Times New Roman" w:cs="Times New Roman"/>
          <w:sz w:val="26"/>
          <w:szCs w:val="26"/>
        </w:rPr>
        <w:t xml:space="preserve"> Nguyễn Thị Mai Khanh - </w:t>
      </w:r>
      <w:r w:rsidRPr="008E57F6">
        <w:rPr>
          <w:rFonts w:ascii="Times New Roman" w:eastAsia="Times New Roman" w:hAnsi="Times New Roman" w:cs="Times New Roman"/>
          <w:sz w:val="26"/>
          <w:szCs w:val="26"/>
          <w:lang w:val="vi-VN"/>
        </w:rPr>
        <w:t>Chức vụ</w:t>
      </w:r>
      <w:r w:rsidRPr="008E57F6">
        <w:rPr>
          <w:rFonts w:ascii="Times New Roman" w:eastAsia="Times New Roman" w:hAnsi="Times New Roman" w:cs="Times New Roman"/>
          <w:sz w:val="26"/>
          <w:szCs w:val="26"/>
        </w:rPr>
        <w:t>: Chủ tịch HĐQT</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lang w:val="vi-VN"/>
        </w:rPr>
        <w:t>- Địa chỉ liên hệ: </w:t>
      </w:r>
      <w:r w:rsidRPr="008E57F6">
        <w:rPr>
          <w:rFonts w:ascii="Times New Roman" w:eastAsia="Times New Roman" w:hAnsi="Times New Roman" w:cs="Times New Roman"/>
          <w:sz w:val="26"/>
          <w:szCs w:val="26"/>
        </w:rPr>
        <w:t>Số 62D ngõ 77, đường Xuân La, quận Tây Hồ, thành phố Hà Nội.</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lang w:val="vi-VN"/>
        </w:rPr>
      </w:pPr>
      <w:r w:rsidRPr="008E57F6">
        <w:rPr>
          <w:rFonts w:ascii="Times New Roman" w:eastAsia="Times New Roman" w:hAnsi="Times New Roman" w:cs="Times New Roman"/>
          <w:sz w:val="26"/>
          <w:szCs w:val="26"/>
          <w:lang w:val="vi-VN"/>
        </w:rPr>
        <w:t>- Số điện thoại: ………………………………………………………………………</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b/>
          <w:sz w:val="26"/>
          <w:szCs w:val="26"/>
          <w:lang w:val="vi-VN"/>
        </w:rPr>
      </w:pPr>
      <w:r w:rsidRPr="008E57F6">
        <w:rPr>
          <w:rFonts w:ascii="Times New Roman" w:eastAsia="Times New Roman" w:hAnsi="Times New Roman" w:cs="Times New Roman"/>
          <w:b/>
          <w:sz w:val="26"/>
          <w:szCs w:val="26"/>
          <w:lang w:val="vi-VN"/>
        </w:rPr>
        <w:t>2. Thông tin công trình:</w:t>
      </w:r>
    </w:p>
    <w:p w:rsidR="00A001C3" w:rsidRPr="00752CEB"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Dự án: Tổ hợp Công trình bao gồm 02 tòa nhà C-HH-01 và C-HH-02 được xây dựng trên 02 lô đất có ký hiệu </w:t>
      </w:r>
      <w:r w:rsidRPr="00752CEB">
        <w:rPr>
          <w:rFonts w:ascii="Times New Roman" w:eastAsia="Times New Roman" w:hAnsi="Times New Roman" w:cs="Times New Roman"/>
          <w:sz w:val="26"/>
          <w:szCs w:val="26"/>
        </w:rPr>
        <w:t>C-HH-01, diện tích: 5.865 m2 và lô đất 02 ký hiệu C-HH-02, diện tích: 5.903 m2 thuộc dự án Xây dựng nhà ở, nhà ở kết hợp thương mại hỗn hợp tại Phân khu số 2, Khu đô thị phía Nam, thành phố Bắc Giang.</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lang w:val="vi-VN"/>
        </w:rPr>
      </w:pPr>
      <w:r w:rsidRPr="008E57F6">
        <w:rPr>
          <w:rFonts w:ascii="Times New Roman" w:eastAsia="Times New Roman" w:hAnsi="Times New Roman" w:cs="Times New Roman"/>
          <w:sz w:val="26"/>
          <w:szCs w:val="26"/>
          <w:lang w:val="vi-VN"/>
        </w:rPr>
        <w:t>- Địa điểm xây dựng: Khu đô thị phía Nam, phường Dĩnh Kế, thành phố Bắc Giang, tỉnh Bắc Giang.</w:t>
      </w:r>
    </w:p>
    <w:p w:rsidR="00A001C3" w:rsidRPr="00084BB4" w:rsidRDefault="00A001C3" w:rsidP="00A001C3">
      <w:pPr>
        <w:spacing w:before="120" w:after="0" w:line="288" w:lineRule="auto"/>
        <w:jc w:val="both"/>
        <w:textAlignment w:val="baseline"/>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 xml:space="preserve">3. </w:t>
      </w:r>
      <w:r w:rsidRPr="00084BB4">
        <w:rPr>
          <w:rFonts w:ascii="Times New Roman" w:eastAsia="Times New Roman" w:hAnsi="Times New Roman" w:cs="Times New Roman"/>
          <w:b/>
          <w:bCs/>
          <w:sz w:val="26"/>
          <w:szCs w:val="26"/>
        </w:rPr>
        <w:t>Về chủ trương đầu tư</w:t>
      </w:r>
      <w:r w:rsidRPr="00084BB4">
        <w:rPr>
          <w:rFonts w:ascii="Times New Roman" w:eastAsia="Times New Roman" w:hAnsi="Times New Roman" w:cs="Times New Roman"/>
          <w:sz w:val="26"/>
          <w:szCs w:val="26"/>
        </w:rPr>
        <w:t> </w:t>
      </w:r>
    </w:p>
    <w:p w:rsidR="00A001C3" w:rsidRPr="00084BB4" w:rsidRDefault="00A001C3" w:rsidP="00A001C3">
      <w:pPr>
        <w:spacing w:before="120" w:after="0" w:line="288" w:lineRule="auto"/>
        <w:ind w:firstLine="555"/>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Pr="008E57F6">
        <w:rPr>
          <w:rFonts w:ascii="Times New Roman" w:eastAsia="Times New Roman" w:hAnsi="Times New Roman" w:cs="Times New Roman"/>
          <w:color w:val="000000"/>
          <w:sz w:val="26"/>
          <w:szCs w:val="26"/>
        </w:rPr>
        <w:t>Quyết định số 1539/QĐ-UBND ngày 27/12/2021 về việc phê duyệt chủ trương đầu tư dự án xây dựng nhà ở, nhà ở kết hợp thương mại hỗn hợp tại phân khu số 2, khu đô thị phía Nam, thành phố Bắc Giang</w:t>
      </w:r>
    </w:p>
    <w:p w:rsidR="00A001C3" w:rsidRPr="008E57F6" w:rsidRDefault="00A001C3" w:rsidP="00A001C3">
      <w:pPr>
        <w:spacing w:before="120" w:after="0" w:line="288" w:lineRule="auto"/>
        <w:ind w:firstLine="555"/>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8E57F6">
        <w:rPr>
          <w:rFonts w:ascii="Times New Roman" w:eastAsia="Times New Roman" w:hAnsi="Times New Roman" w:cs="Times New Roman"/>
          <w:color w:val="000000"/>
          <w:sz w:val="26"/>
          <w:szCs w:val="26"/>
        </w:rPr>
        <w:t xml:space="preserve">Văn bản số 759/UBND- TCKH ngày 25/3/2022 về việc công nhận chủ đầu </w:t>
      </w:r>
      <w:proofErr w:type="gramStart"/>
      <w:r w:rsidRPr="008E57F6">
        <w:rPr>
          <w:rFonts w:ascii="Times New Roman" w:eastAsia="Times New Roman" w:hAnsi="Times New Roman" w:cs="Times New Roman"/>
          <w:color w:val="000000"/>
          <w:sz w:val="26"/>
          <w:szCs w:val="26"/>
        </w:rPr>
        <w:t>tư</w:t>
      </w:r>
      <w:proofErr w:type="gramEnd"/>
      <w:r w:rsidRPr="008E57F6">
        <w:rPr>
          <w:rFonts w:ascii="Times New Roman" w:eastAsia="Times New Roman" w:hAnsi="Times New Roman" w:cs="Times New Roman"/>
          <w:color w:val="000000"/>
          <w:sz w:val="26"/>
          <w:szCs w:val="26"/>
        </w:rPr>
        <w:t>.</w:t>
      </w:r>
    </w:p>
    <w:p w:rsidR="00A001C3" w:rsidRPr="00084BB4" w:rsidRDefault="00A001C3" w:rsidP="00A001C3">
      <w:pPr>
        <w:spacing w:before="120" w:after="0" w:line="288" w:lineRule="auto"/>
        <w:ind w:firstLine="555"/>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84BB4">
        <w:rPr>
          <w:rFonts w:ascii="Times New Roman" w:eastAsia="Times New Roman" w:hAnsi="Times New Roman" w:cs="Times New Roman"/>
          <w:sz w:val="26"/>
          <w:szCs w:val="26"/>
        </w:rPr>
        <w:t>Quyết định số 606/QĐ-UBND ngày 28/6/2024 của UBND tỉnh Bắc Giang về việc cho phép chuyển nhượng một phần dự án Xây dựng nhà ở, nhà ở thương mại hỗn hợp tại phân khu số 2.</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b/>
          <w:sz w:val="26"/>
          <w:szCs w:val="26"/>
        </w:rPr>
      </w:pPr>
      <w:r w:rsidRPr="008E57F6">
        <w:rPr>
          <w:rFonts w:ascii="Times New Roman" w:eastAsia="Times New Roman" w:hAnsi="Times New Roman" w:cs="Times New Roman"/>
          <w:b/>
          <w:sz w:val="26"/>
          <w:szCs w:val="26"/>
        </w:rPr>
        <w:t>4. Về Quyền sử dụng đất</w:t>
      </w:r>
    </w:p>
    <w:p w:rsidR="00A001C3" w:rsidRPr="008E57F6" w:rsidRDefault="00A001C3" w:rsidP="00A001C3">
      <w:pPr>
        <w:spacing w:before="120" w:after="0" w:line="288" w:lineRule="auto"/>
        <w:ind w:firstLine="555"/>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8E57F6">
        <w:rPr>
          <w:rFonts w:ascii="Times New Roman" w:eastAsia="Times New Roman" w:hAnsi="Times New Roman" w:cs="Times New Roman"/>
          <w:color w:val="000000"/>
          <w:sz w:val="26"/>
          <w:szCs w:val="26"/>
        </w:rPr>
        <w:t>Quyết định số 196/QĐ-UBND ngày 08/02/2022 về việc phê duyệt kết quả trúng đấu giá quyền sử dụng đất lựa chọn nhà đầu tư thực hiện dự án.</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b/>
          <w:sz w:val="26"/>
          <w:szCs w:val="26"/>
        </w:rPr>
      </w:pPr>
      <w:r w:rsidRPr="008E57F6">
        <w:rPr>
          <w:rFonts w:ascii="Times New Roman" w:eastAsia="Times New Roman" w:hAnsi="Times New Roman" w:cs="Times New Roman"/>
          <w:b/>
          <w:sz w:val="26"/>
          <w:szCs w:val="26"/>
        </w:rPr>
        <w:t>5.  Về Quy hoạch</w:t>
      </w:r>
    </w:p>
    <w:p w:rsidR="00A001C3" w:rsidRPr="008E57F6" w:rsidRDefault="00A001C3" w:rsidP="00A001C3">
      <w:pPr>
        <w:spacing w:before="120" w:after="0" w:line="288" w:lineRule="auto"/>
        <w:ind w:firstLine="555"/>
        <w:jc w:val="both"/>
        <w:textAlignment w:val="baseline"/>
        <w:rPr>
          <w:rFonts w:ascii="Segoe UI" w:eastAsia="Times New Roman" w:hAnsi="Segoe UI" w:cs="Segoe UI"/>
          <w:sz w:val="26"/>
          <w:szCs w:val="26"/>
        </w:rPr>
      </w:pPr>
      <w:r w:rsidRPr="00084BB4">
        <w:rPr>
          <w:rFonts w:ascii="Times New Roman" w:eastAsia="Times New Roman" w:hAnsi="Times New Roman" w:cs="Times New Roman"/>
          <w:sz w:val="26"/>
          <w:szCs w:val="26"/>
        </w:rPr>
        <w:t>- Quy hoạch chung: Dự án thuộc đồ án Quy hoạch chung XD thành phố Bắc Giang đến năm 2035, tầm nhìn đến năm 2050 được phê duyệt điều chỉnh cục bộ tại Quyết định số 844/QĐ-UBND ngày 17/08/2022 của UBND tỉnh Bắc Giang. </w:t>
      </w:r>
    </w:p>
    <w:p w:rsidR="00A001C3" w:rsidRPr="008E57F6" w:rsidRDefault="00A001C3" w:rsidP="00A001C3">
      <w:pPr>
        <w:spacing w:before="120" w:after="0" w:line="288" w:lineRule="auto"/>
        <w:ind w:firstLine="555"/>
        <w:jc w:val="both"/>
        <w:textAlignment w:val="baseline"/>
        <w:rPr>
          <w:rFonts w:ascii="Segoe UI" w:eastAsia="Times New Roman" w:hAnsi="Segoe UI" w:cs="Segoe UI"/>
          <w:sz w:val="26"/>
          <w:szCs w:val="26"/>
        </w:rPr>
      </w:pPr>
      <w:r w:rsidRPr="00084BB4">
        <w:rPr>
          <w:rFonts w:ascii="Times New Roman" w:eastAsia="Times New Roman" w:hAnsi="Times New Roman" w:cs="Times New Roman"/>
          <w:sz w:val="26"/>
          <w:szCs w:val="26"/>
        </w:rPr>
        <w:lastRenderedPageBreak/>
        <w:t>- Quy hoạch phân khu: Dự án thuộc đồ án Quy hoạch phân khu số 2, thành phố Bắc Giang được phê duyệt điều chỉnh cục bộ tại Quyết định số 845/QĐ-UBND ngày 18/08/2022 của UBND tỉnh Bắc Giang. </w:t>
      </w:r>
    </w:p>
    <w:p w:rsidR="00A001C3" w:rsidRPr="008E57F6" w:rsidRDefault="00A001C3" w:rsidP="00A001C3">
      <w:pPr>
        <w:spacing w:before="120" w:after="0" w:line="288" w:lineRule="auto"/>
        <w:ind w:firstLine="555"/>
        <w:jc w:val="both"/>
        <w:textAlignment w:val="baseline"/>
        <w:rPr>
          <w:rFonts w:ascii="Segoe UI" w:eastAsia="Times New Roman" w:hAnsi="Segoe UI" w:cs="Segoe UI"/>
          <w:sz w:val="26"/>
          <w:szCs w:val="26"/>
        </w:rPr>
      </w:pPr>
      <w:r w:rsidRPr="00084BB4">
        <w:rPr>
          <w:rFonts w:ascii="Times New Roman" w:eastAsia="Times New Roman" w:hAnsi="Times New Roman" w:cs="Times New Roman"/>
          <w:sz w:val="26"/>
          <w:szCs w:val="26"/>
        </w:rPr>
        <w:t>- Quy hoạch chi tiết: Dự án thuộc đồ án Quy hoạch chi tiết XD Khu số 6,7, thuộc Khu đô thị phía Nam, thành phố Bắc Giang được phê duyệt điều chỉnh cục bộ tại Quyết định số 847/QĐ-UBND ngày 19/08/2022 của UBND tỉnh Bắc Giang. </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b/>
          <w:sz w:val="26"/>
          <w:szCs w:val="26"/>
        </w:rPr>
      </w:pPr>
      <w:r w:rsidRPr="008E57F6">
        <w:rPr>
          <w:rFonts w:ascii="Times New Roman" w:eastAsia="Times New Roman" w:hAnsi="Times New Roman" w:cs="Times New Roman"/>
          <w:b/>
          <w:sz w:val="26"/>
          <w:szCs w:val="26"/>
        </w:rPr>
        <w:t>6. Về Hợp đồng mẫu được sử dụng để ký kết trong giao dịch kinh doanh bất động sản.</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Hợp đồng đang đăng ký</w:t>
      </w:r>
      <w:bookmarkStart w:id="0" w:name="_GoBack"/>
      <w:bookmarkEnd w:id="0"/>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b/>
          <w:sz w:val="26"/>
          <w:szCs w:val="26"/>
        </w:rPr>
      </w:pPr>
      <w:r w:rsidRPr="008E57F6">
        <w:rPr>
          <w:rFonts w:ascii="Times New Roman" w:eastAsia="Times New Roman" w:hAnsi="Times New Roman" w:cs="Times New Roman"/>
          <w:b/>
          <w:sz w:val="26"/>
          <w:szCs w:val="26"/>
        </w:rPr>
        <w:t>7. Thông tin về nhà ở, công trình xây dựng hình thành trong tương lai bao gồm:</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a. Loại bất động sản: Nhà ở, nhà ở kết hợp thương mại hỗn hợp tại Phân khu số 2, Khu đô thị phía Nam, thành phố Bắc Giang</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 Tòa C-HH-01</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Chiều cao công trình C-HH-01 tính từ vỉa hè lên điểm cao nhất là 127m bao gồm 1 tầng hầm và 28 tầng nổi,</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Diện tích khu đất</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5.865,0m2</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Diện tích xây dựng</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2.606,6 m2</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 xml:space="preserve">Mật độ xây dựng khối đế </w:t>
      </w:r>
      <w:r w:rsidRPr="008E57F6">
        <w:rPr>
          <w:rFonts w:ascii="Times New Roman" w:hAnsi="Times New Roman" w:cs="Times New Roman"/>
          <w:sz w:val="26"/>
          <w:szCs w:val="26"/>
        </w:rPr>
        <w:tab/>
      </w:r>
      <w:r w:rsidRPr="008E57F6">
        <w:rPr>
          <w:rFonts w:ascii="Times New Roman" w:hAnsi="Times New Roman" w:cs="Times New Roman"/>
          <w:sz w:val="26"/>
          <w:szCs w:val="26"/>
        </w:rPr>
        <w:tab/>
        <w:t>: 44%</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 xml:space="preserve">Mật độ xây dựng khối tháp </w:t>
      </w:r>
      <w:r w:rsidRPr="008E57F6">
        <w:rPr>
          <w:rFonts w:ascii="Times New Roman" w:hAnsi="Times New Roman" w:cs="Times New Roman"/>
          <w:sz w:val="26"/>
          <w:szCs w:val="26"/>
        </w:rPr>
        <w:tab/>
      </w:r>
      <w:r w:rsidRPr="008E57F6">
        <w:rPr>
          <w:rFonts w:ascii="Times New Roman" w:hAnsi="Times New Roman" w:cs="Times New Roman"/>
          <w:sz w:val="26"/>
          <w:szCs w:val="26"/>
        </w:rPr>
        <w:tab/>
        <w:t>: 32%</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Hệ số sử dụng đất</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8,9  lần</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Tổng diện tích sàn phần nổi</w:t>
      </w:r>
      <w:r w:rsidRPr="008E57F6">
        <w:rPr>
          <w:rFonts w:ascii="Times New Roman" w:hAnsi="Times New Roman" w:cs="Times New Roman"/>
          <w:sz w:val="26"/>
          <w:szCs w:val="26"/>
        </w:rPr>
        <w:tab/>
      </w:r>
      <w:r w:rsidRPr="008E57F6">
        <w:rPr>
          <w:rFonts w:ascii="Times New Roman" w:hAnsi="Times New Roman" w:cs="Times New Roman"/>
          <w:sz w:val="26"/>
          <w:szCs w:val="26"/>
        </w:rPr>
        <w:tab/>
        <w:t>: 55.181,9 m2 (diện tích này chưa bao gồm phần diện tích thông tầng căn hộ Duplex).</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Tổng diện tích sàn phần ngầm</w:t>
      </w:r>
      <w:r w:rsidRPr="008E57F6">
        <w:rPr>
          <w:rFonts w:ascii="Times New Roman" w:hAnsi="Times New Roman" w:cs="Times New Roman"/>
          <w:sz w:val="26"/>
          <w:szCs w:val="26"/>
        </w:rPr>
        <w:tab/>
      </w:r>
      <w:r w:rsidRPr="008E57F6">
        <w:rPr>
          <w:rFonts w:ascii="Times New Roman" w:hAnsi="Times New Roman" w:cs="Times New Roman"/>
          <w:sz w:val="26"/>
          <w:szCs w:val="26"/>
        </w:rPr>
        <w:tab/>
        <w:t>: 5.865,1 m2</w:t>
      </w:r>
    </w:p>
    <w:p w:rsidR="00A001C3" w:rsidRPr="008E57F6" w:rsidRDefault="00A001C3" w:rsidP="00A001C3">
      <w:pPr>
        <w:numPr>
          <w:ilvl w:val="0"/>
          <w:numId w:val="1"/>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Tổng số căn hộ</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320 căn</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 Tòa C-HH-02</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Chiều cao công trình C-HH-02 tính từ vỉa hè lên điểm cao nhất là 127m bao gồm 1 tầng hầm và 28 tầng nổi.</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Diện tích khu đất</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5.903,0m2</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Diện tích xây dựng</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2.623,4 m2</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lastRenderedPageBreak/>
        <w:t xml:space="preserve">Mật độ xây dựng khối đế </w:t>
      </w:r>
      <w:r w:rsidRPr="008E57F6">
        <w:rPr>
          <w:rFonts w:ascii="Times New Roman" w:hAnsi="Times New Roman" w:cs="Times New Roman"/>
          <w:sz w:val="26"/>
          <w:szCs w:val="26"/>
        </w:rPr>
        <w:tab/>
      </w:r>
      <w:r w:rsidRPr="008E57F6">
        <w:rPr>
          <w:rFonts w:ascii="Times New Roman" w:hAnsi="Times New Roman" w:cs="Times New Roman"/>
          <w:sz w:val="26"/>
          <w:szCs w:val="26"/>
        </w:rPr>
        <w:tab/>
        <w:t>: 44%</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 xml:space="preserve">Mật độ xây dựng khối tháp </w:t>
      </w:r>
      <w:r w:rsidRPr="008E57F6">
        <w:rPr>
          <w:rFonts w:ascii="Times New Roman" w:hAnsi="Times New Roman" w:cs="Times New Roman"/>
          <w:sz w:val="26"/>
          <w:szCs w:val="26"/>
        </w:rPr>
        <w:tab/>
      </w:r>
      <w:r w:rsidRPr="008E57F6">
        <w:rPr>
          <w:rFonts w:ascii="Times New Roman" w:hAnsi="Times New Roman" w:cs="Times New Roman"/>
          <w:sz w:val="26"/>
          <w:szCs w:val="26"/>
        </w:rPr>
        <w:tab/>
        <w:t>: 32%</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Hệ số sử dụng đất</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8,9 lần</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Tổng diện tích sàn phần nổi</w:t>
      </w:r>
      <w:r w:rsidRPr="008E57F6">
        <w:rPr>
          <w:rFonts w:ascii="Times New Roman" w:hAnsi="Times New Roman" w:cs="Times New Roman"/>
          <w:sz w:val="26"/>
          <w:szCs w:val="26"/>
        </w:rPr>
        <w:tab/>
      </w:r>
      <w:r w:rsidRPr="008E57F6">
        <w:rPr>
          <w:rFonts w:ascii="Times New Roman" w:hAnsi="Times New Roman" w:cs="Times New Roman"/>
          <w:sz w:val="26"/>
          <w:szCs w:val="26"/>
        </w:rPr>
        <w:tab/>
        <w:t>: 55.029,9 m2 (diện tích này chưa bao gồm phần diện tích thông tầng căn hộ Duplex).</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Tổng diện tích sàn phần ngầm</w:t>
      </w:r>
      <w:r w:rsidRPr="008E57F6">
        <w:rPr>
          <w:rFonts w:ascii="Times New Roman" w:hAnsi="Times New Roman" w:cs="Times New Roman"/>
          <w:sz w:val="26"/>
          <w:szCs w:val="26"/>
        </w:rPr>
        <w:tab/>
      </w:r>
      <w:r w:rsidRPr="008E57F6">
        <w:rPr>
          <w:rFonts w:ascii="Times New Roman" w:hAnsi="Times New Roman" w:cs="Times New Roman"/>
          <w:sz w:val="26"/>
          <w:szCs w:val="26"/>
        </w:rPr>
        <w:tab/>
        <w:t>: 5.903,0 m2</w:t>
      </w:r>
    </w:p>
    <w:p w:rsidR="00A001C3" w:rsidRPr="008E57F6" w:rsidRDefault="00A001C3" w:rsidP="00A001C3">
      <w:pPr>
        <w:numPr>
          <w:ilvl w:val="0"/>
          <w:numId w:val="2"/>
        </w:numPr>
        <w:spacing w:before="120" w:after="0" w:line="288" w:lineRule="auto"/>
        <w:jc w:val="both"/>
        <w:rPr>
          <w:rFonts w:ascii="Times New Roman" w:hAnsi="Times New Roman" w:cs="Times New Roman"/>
          <w:sz w:val="26"/>
          <w:szCs w:val="26"/>
        </w:rPr>
      </w:pPr>
      <w:r w:rsidRPr="008E57F6">
        <w:rPr>
          <w:rFonts w:ascii="Times New Roman" w:hAnsi="Times New Roman" w:cs="Times New Roman"/>
          <w:sz w:val="26"/>
          <w:szCs w:val="26"/>
        </w:rPr>
        <w:t>Tổng số căn hộ</w:t>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r>
      <w:r w:rsidRPr="008E57F6">
        <w:rPr>
          <w:rFonts w:ascii="Times New Roman" w:hAnsi="Times New Roman" w:cs="Times New Roman"/>
          <w:sz w:val="26"/>
          <w:szCs w:val="26"/>
        </w:rPr>
        <w:tab/>
        <w:t>: 368 căn</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b. Về thiết kế cơ sở trong báo cáo nghiên cứu khả thi.</w:t>
      </w:r>
    </w:p>
    <w:p w:rsidR="00A001C3" w:rsidRPr="008E57F6" w:rsidRDefault="00A001C3" w:rsidP="00A001C3">
      <w:pPr>
        <w:shd w:val="clear" w:color="auto" w:fill="FFFFFF"/>
        <w:tabs>
          <w:tab w:val="left" w:pos="1102"/>
        </w:tabs>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Văn bản thẩm định số 07/HĐXD-QLKT ngày 9/1/2023 về việc thông báo kết quả thẩm định Báo cáo nghiên cứu khả thi dự án  xây dựng nhà ở, nhà ở kết hợp thương mại hỗn hợp tại TP Bắc Giang, tỉnh Bắc Giang</w:t>
      </w:r>
    </w:p>
    <w:p w:rsidR="00A001C3" w:rsidRPr="008E57F6" w:rsidRDefault="00A001C3" w:rsidP="00A001C3">
      <w:pPr>
        <w:spacing w:before="120" w:after="0" w:line="288" w:lineRule="auto"/>
        <w:jc w:val="both"/>
        <w:rPr>
          <w:rFonts w:ascii="Times New Roman" w:hAnsi="Times New Roman" w:cs="Times New Roman"/>
          <w:b/>
          <w:i/>
          <w:sz w:val="26"/>
          <w:szCs w:val="26"/>
        </w:rPr>
      </w:pPr>
      <w:proofErr w:type="gramStart"/>
      <w:r w:rsidRPr="008E57F6">
        <w:rPr>
          <w:rFonts w:ascii="Times New Roman" w:hAnsi="Times New Roman" w:cs="Times New Roman"/>
          <w:b/>
          <w:i/>
          <w:sz w:val="26"/>
          <w:szCs w:val="26"/>
        </w:rPr>
        <w:t>c</w:t>
      </w:r>
      <w:proofErr w:type="gramEnd"/>
      <w:r w:rsidRPr="008E57F6">
        <w:rPr>
          <w:rFonts w:ascii="Times New Roman" w:hAnsi="Times New Roman" w:cs="Times New Roman"/>
          <w:b/>
          <w:i/>
          <w:sz w:val="26"/>
          <w:szCs w:val="26"/>
        </w:rPr>
        <w:t>. Về Giấy phép xây dựng:</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Giấy phép xây dựng số 2/GPXD ngày 2/1/2025 của Sở Xây dựng tỉnh Bắc Giang.</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d. Về thông báo khởi công xây dựng:</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Thông báo số 01/TBKC-NGS ngày 3/1/2025 của Công ty cổ phần New Goldsun.</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 xml:space="preserve">e. Về giấy tờ nghiệm </w:t>
      </w:r>
      <w:proofErr w:type="gramStart"/>
      <w:r w:rsidRPr="008E57F6">
        <w:rPr>
          <w:rFonts w:ascii="Times New Roman" w:hAnsi="Times New Roman" w:cs="Times New Roman"/>
          <w:b/>
          <w:i/>
          <w:sz w:val="26"/>
          <w:szCs w:val="26"/>
        </w:rPr>
        <w:t>thu</w:t>
      </w:r>
      <w:proofErr w:type="gramEnd"/>
      <w:r w:rsidRPr="008E57F6">
        <w:rPr>
          <w:rFonts w:ascii="Times New Roman" w:hAnsi="Times New Roman" w:cs="Times New Roman"/>
          <w:b/>
          <w:i/>
          <w:sz w:val="26"/>
          <w:szCs w:val="26"/>
        </w:rPr>
        <w:t xml:space="preserve"> hoàn thành xây dựng phần móng:</w:t>
      </w:r>
    </w:p>
    <w:p w:rsidR="00A001C3" w:rsidRPr="008E57F6" w:rsidRDefault="00A001C3" w:rsidP="00A001C3">
      <w:pPr>
        <w:shd w:val="clear" w:color="auto" w:fill="FFFFFF"/>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Đang thực hiện</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f. Giấy tờ về quyền sử dụng đất.</w:t>
      </w:r>
    </w:p>
    <w:p w:rsidR="00A001C3" w:rsidRPr="008E57F6" w:rsidRDefault="00A001C3" w:rsidP="00A001C3">
      <w:pPr>
        <w:shd w:val="clear" w:color="auto" w:fill="FFFFFF"/>
        <w:tabs>
          <w:tab w:val="left" w:pos="1102"/>
        </w:tabs>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 Giấy chứng nhận QSD đất số DE 380257</w:t>
      </w:r>
    </w:p>
    <w:p w:rsidR="00A001C3" w:rsidRDefault="00A001C3" w:rsidP="00A001C3">
      <w:pPr>
        <w:shd w:val="clear" w:color="auto" w:fill="FFFFFF"/>
        <w:tabs>
          <w:tab w:val="left" w:pos="1102"/>
        </w:tabs>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 Giấy chứng nhận QSD đất số DE 380258</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g. Thỏa thuận cấp bảo lãnh trong bán, cho thuê mua nhà ở hình thành trong tương lai;</w:t>
      </w:r>
    </w:p>
    <w:p w:rsidR="00A001C3" w:rsidRPr="008E57F6" w:rsidRDefault="00A001C3" w:rsidP="00A001C3">
      <w:pPr>
        <w:shd w:val="clear" w:color="auto" w:fill="FFFFFF"/>
        <w:tabs>
          <w:tab w:val="left" w:pos="1102"/>
        </w:tabs>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Đang thực hiện</w:t>
      </w:r>
    </w:p>
    <w:p w:rsidR="00A001C3" w:rsidRPr="008E57F6" w:rsidRDefault="00A001C3" w:rsidP="00A001C3">
      <w:pPr>
        <w:spacing w:before="120" w:after="0" w:line="288" w:lineRule="auto"/>
        <w:jc w:val="both"/>
        <w:rPr>
          <w:rFonts w:ascii="Times New Roman" w:hAnsi="Times New Roman" w:cs="Times New Roman"/>
          <w:b/>
          <w:i/>
          <w:sz w:val="26"/>
          <w:szCs w:val="26"/>
        </w:rPr>
      </w:pPr>
      <w:r w:rsidRPr="008E57F6">
        <w:rPr>
          <w:rFonts w:ascii="Times New Roman" w:hAnsi="Times New Roman" w:cs="Times New Roman"/>
          <w:b/>
          <w:i/>
          <w:sz w:val="26"/>
          <w:szCs w:val="26"/>
        </w:rPr>
        <w:t>h. Văn bản của cơ quan nhà nước có thẩm quyền về nhà ở hình thành trong tương lai đủ điều kiện được bán, cho thuê mua;</w:t>
      </w:r>
    </w:p>
    <w:p w:rsidR="00A001C3" w:rsidRPr="008E57F6" w:rsidRDefault="00A001C3" w:rsidP="00A001C3">
      <w:pPr>
        <w:shd w:val="clear" w:color="auto" w:fill="FFFFFF"/>
        <w:tabs>
          <w:tab w:val="left" w:pos="1102"/>
        </w:tabs>
        <w:spacing w:before="120" w:after="0" w:line="288" w:lineRule="auto"/>
        <w:jc w:val="both"/>
        <w:rPr>
          <w:rFonts w:ascii="Times New Roman" w:eastAsia="Times New Roman" w:hAnsi="Times New Roman" w:cs="Times New Roman"/>
          <w:sz w:val="26"/>
          <w:szCs w:val="26"/>
        </w:rPr>
      </w:pPr>
      <w:r w:rsidRPr="008E57F6">
        <w:rPr>
          <w:rFonts w:ascii="Times New Roman" w:eastAsia="Times New Roman" w:hAnsi="Times New Roman" w:cs="Times New Roman"/>
          <w:sz w:val="26"/>
          <w:szCs w:val="26"/>
        </w:rPr>
        <w:t>Đang thực hiện</w:t>
      </w:r>
    </w:p>
    <w:p w:rsidR="002431FF" w:rsidRDefault="00A001C3" w:rsidP="00A001C3">
      <w:r w:rsidRPr="008E57F6">
        <w:rPr>
          <w:rFonts w:ascii="Times New Roman" w:eastAsia="Times New Roman" w:hAnsi="Times New Roman" w:cs="Times New Roman"/>
          <w:b/>
          <w:sz w:val="26"/>
          <w:szCs w:val="26"/>
        </w:rPr>
        <w:t>8. Dự kiến thời gian hoàn thành công trình: 30 tháng.</w:t>
      </w:r>
    </w:p>
    <w:sectPr w:rsidR="0024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D071E"/>
    <w:multiLevelType w:val="hybridMultilevel"/>
    <w:tmpl w:val="93A6B1BA"/>
    <w:lvl w:ilvl="0" w:tplc="3AD20EA4">
      <w:numFmt w:val="bullet"/>
      <w:lvlText w:val="-"/>
      <w:lvlJc w:val="left"/>
      <w:pPr>
        <w:ind w:left="720" w:hanging="360"/>
      </w:pPr>
      <w:rPr>
        <w:rFonts w:ascii="Times New Roman" w:eastAsia="Times New Roman" w:hAnsi="Times New Roman" w:cs="Times New Roman" w:hint="default"/>
        <w:b/>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921C7"/>
    <w:multiLevelType w:val="hybridMultilevel"/>
    <w:tmpl w:val="23E217C0"/>
    <w:lvl w:ilvl="0" w:tplc="3AD20EA4">
      <w:numFmt w:val="bullet"/>
      <w:lvlText w:val="-"/>
      <w:lvlJc w:val="left"/>
      <w:pPr>
        <w:ind w:left="720" w:hanging="360"/>
      </w:pPr>
      <w:rPr>
        <w:rFonts w:ascii="Times New Roman" w:eastAsia="Times New Roman" w:hAnsi="Times New Roman" w:cs="Times New Roman" w:hint="default"/>
        <w:b/>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C3"/>
    <w:rsid w:val="002431FF"/>
    <w:rsid w:val="00A0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F5E0"/>
  <w15:chartTrackingRefBased/>
  <w15:docId w15:val="{381475B7-B832-401A-9FE7-44D66686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Anh Tuan</dc:creator>
  <cp:keywords/>
  <dc:description/>
  <cp:lastModifiedBy>Ho Anh Tuan</cp:lastModifiedBy>
  <cp:revision>1</cp:revision>
  <dcterms:created xsi:type="dcterms:W3CDTF">2025-06-04T20:22:00Z</dcterms:created>
  <dcterms:modified xsi:type="dcterms:W3CDTF">2025-06-04T20:24:00Z</dcterms:modified>
</cp:coreProperties>
</file>